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B2" w:rsidRPr="00523AE0" w:rsidRDefault="000F6C1D">
      <w:pPr>
        <w:rPr>
          <w:b/>
          <w:sz w:val="28"/>
        </w:rPr>
      </w:pPr>
      <w:r w:rsidRPr="00523AE0">
        <w:rPr>
          <w:b/>
          <w:sz w:val="28"/>
        </w:rPr>
        <w:t>Tarporley C of E Primary School</w:t>
      </w:r>
      <w:r w:rsidRPr="00523AE0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583B5CE8" wp14:editId="78681F06">
            <wp:simplePos x="2273300" y="461010"/>
            <wp:positionH relativeFrom="margin">
              <wp:align>right</wp:align>
            </wp:positionH>
            <wp:positionV relativeFrom="margin">
              <wp:align>top</wp:align>
            </wp:positionV>
            <wp:extent cx="1861820" cy="50355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C1D" w:rsidRDefault="000F6C1D">
      <w:pPr>
        <w:rPr>
          <w:b/>
        </w:rPr>
      </w:pPr>
      <w:r>
        <w:rPr>
          <w:b/>
        </w:rPr>
        <w:t xml:space="preserve">Progression in </w:t>
      </w:r>
      <w:r w:rsidR="002D7A98">
        <w:rPr>
          <w:b/>
        </w:rPr>
        <w:t>Science</w:t>
      </w:r>
      <w:r>
        <w:rPr>
          <w:b/>
        </w:rPr>
        <w:t xml:space="preserve"> under the 2014 National Curriculum</w:t>
      </w:r>
    </w:p>
    <w:p w:rsidR="00C33006" w:rsidRDefault="00582EC3">
      <w:pPr>
        <w:rPr>
          <w:b/>
        </w:rPr>
      </w:pPr>
      <w:r>
        <w:rPr>
          <w:b/>
        </w:rP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2D7A98" w:rsidRPr="00582EC3" w:rsidTr="002D7A98">
        <w:tc>
          <w:tcPr>
            <w:tcW w:w="2230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‘Big Idea’</w:t>
            </w:r>
          </w:p>
        </w:tc>
        <w:tc>
          <w:tcPr>
            <w:tcW w:w="2230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1</w:t>
            </w:r>
          </w:p>
        </w:tc>
        <w:tc>
          <w:tcPr>
            <w:tcW w:w="2230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2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3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4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5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Year 6</w:t>
            </w:r>
          </w:p>
        </w:tc>
      </w:tr>
      <w:tr w:rsidR="00582EC3" w:rsidRPr="0050624C" w:rsidTr="002D7A98">
        <w:tc>
          <w:tcPr>
            <w:tcW w:w="2230" w:type="dxa"/>
          </w:tcPr>
          <w:p w:rsidR="00582EC3" w:rsidRPr="00582EC3" w:rsidRDefault="00582EC3" w:rsidP="00B33205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 xml:space="preserve">1) Different rocks have different properties and the formation of soil &amp; fossils can be explained.  </w:t>
            </w:r>
          </w:p>
        </w:tc>
        <w:tc>
          <w:tcPr>
            <w:tcW w:w="2230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3.1.1 Describe in simple terms how fossils are formed when things that have lived are trapped within rock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3.1.2 Recognise that soils are made from rocks and organic matter</w:t>
            </w:r>
          </w:p>
        </w:tc>
        <w:tc>
          <w:tcPr>
            <w:tcW w:w="2231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</w:p>
        </w:tc>
      </w:tr>
      <w:tr w:rsidR="00582EC3" w:rsidRPr="0050624C" w:rsidTr="002D7A98">
        <w:tc>
          <w:tcPr>
            <w:tcW w:w="2230" w:type="dxa"/>
          </w:tcPr>
          <w:p w:rsidR="00582EC3" w:rsidRPr="00582EC3" w:rsidRDefault="00582EC3" w:rsidP="00B33205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2) Materials have physical properties which can be investigated and compared</w:t>
            </w:r>
          </w:p>
        </w:tc>
        <w:tc>
          <w:tcPr>
            <w:tcW w:w="2230" w:type="dxa"/>
          </w:tcPr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1.2.1 Distinguish between an object and the material from which it is made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1.2.2 Identify and name a variety of everyday materials, including wood, plastic, glass, metal, water and rock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1.2.3 Describe the simple physical properties of a variety of everyday materials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1.2.4 Compare and group together a variety of everyday materials on the basis of their simple physical properties</w:t>
            </w:r>
          </w:p>
        </w:tc>
        <w:tc>
          <w:tcPr>
            <w:tcW w:w="2230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2.2.1 Find out how the shapes of solid objects made from some materials can be changed by squashing, bending, twisting and stretching</w:t>
            </w:r>
          </w:p>
        </w:tc>
        <w:tc>
          <w:tcPr>
            <w:tcW w:w="2231" w:type="dxa"/>
          </w:tcPr>
          <w:p w:rsidR="00582EC3" w:rsidRPr="00582EC3" w:rsidRDefault="00582EC3" w:rsidP="002D7A98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3.2.1 Compare and group together different kinds of rocks on the basis of their appearance and simple physical properties</w:t>
            </w:r>
          </w:p>
        </w:tc>
        <w:tc>
          <w:tcPr>
            <w:tcW w:w="2231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4.2.1 Compare and group materials together, according to whether they are solids, liquids or gases</w:t>
            </w:r>
          </w:p>
        </w:tc>
        <w:tc>
          <w:tcPr>
            <w:tcW w:w="2231" w:type="dxa"/>
          </w:tcPr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5.2.1 Compare and group together everyday materials on the basis of their properties, including their hardness, solubility, transparency, conductivity (electrical and thermal) and response to magnets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5.2.2 Know that some materials will dissolve in liquid to form a solution, and describe how to recover a substance from a solution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5.2.3 Use knowledge of solids, liquids and gases to decide how mixtures might be separated, including through filtering, sieving and evaporating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5.2.4 Demonstrate that dissolving, mixing and changes of state are reversible changes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5.2.5 Explain that some changes result in the formation of new materials and that this kind of change is not usually reversible, including changes associated with burning and the action</w:t>
            </w:r>
            <w:r w:rsidRPr="00582EC3">
              <w:rPr>
                <w:sz w:val="18"/>
                <w:szCs w:val="18"/>
              </w:rPr>
              <w:t xml:space="preserve"> of acid on bicarbonate of soda</w:t>
            </w:r>
          </w:p>
        </w:tc>
        <w:tc>
          <w:tcPr>
            <w:tcW w:w="2231" w:type="dxa"/>
          </w:tcPr>
          <w:p w:rsidR="00582EC3" w:rsidRPr="00582EC3" w:rsidRDefault="00582EC3">
            <w:pPr>
              <w:rPr>
                <w:sz w:val="18"/>
                <w:szCs w:val="18"/>
              </w:rPr>
            </w:pPr>
          </w:p>
        </w:tc>
      </w:tr>
      <w:tr w:rsidR="002D7A98" w:rsidRPr="0050624C" w:rsidTr="002D7A98">
        <w:tc>
          <w:tcPr>
            <w:tcW w:w="2230" w:type="dxa"/>
          </w:tcPr>
          <w:p w:rsidR="002D7A98" w:rsidRPr="00582EC3" w:rsidRDefault="00582EC3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lastRenderedPageBreak/>
              <w:t xml:space="preserve">3) The physical properties of materials determine their uses.  </w:t>
            </w:r>
          </w:p>
        </w:tc>
        <w:tc>
          <w:tcPr>
            <w:tcW w:w="2230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</w:tcPr>
          <w:p w:rsidR="002D7A98" w:rsidRPr="00582EC3" w:rsidRDefault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2.3.1 Identify and compare the suitability of a variety of everyday materials, including wood, metal, plastic, glass, brick, rock, paper and cardboard for particular uses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2D7A98" w:rsidRPr="00582EC3" w:rsidRDefault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5.3.1 Give reasons, based on evidence from comparative and fair tests, for the particular uses of everyday materials, including metals, wood and plastic</w:t>
            </w:r>
          </w:p>
        </w:tc>
        <w:tc>
          <w:tcPr>
            <w:tcW w:w="2231" w:type="dxa"/>
          </w:tcPr>
          <w:p w:rsidR="002D7A98" w:rsidRPr="00582EC3" w:rsidRDefault="002D7A98" w:rsidP="0030077D">
            <w:pPr>
              <w:rPr>
                <w:sz w:val="18"/>
                <w:szCs w:val="18"/>
              </w:rPr>
            </w:pPr>
          </w:p>
        </w:tc>
      </w:tr>
      <w:tr w:rsidR="002D7A98" w:rsidRPr="0050624C" w:rsidTr="002D7A98">
        <w:tc>
          <w:tcPr>
            <w:tcW w:w="2230" w:type="dxa"/>
          </w:tcPr>
          <w:p w:rsidR="002D7A98" w:rsidRPr="00582EC3" w:rsidRDefault="00582EC3">
            <w:pPr>
              <w:rPr>
                <w:b/>
                <w:sz w:val="18"/>
                <w:szCs w:val="18"/>
              </w:rPr>
            </w:pPr>
            <w:r w:rsidRPr="00582EC3">
              <w:rPr>
                <w:b/>
                <w:sz w:val="18"/>
                <w:szCs w:val="18"/>
              </w:rPr>
              <w:t>4) Materials can exist in different states and that these states can sometimes be changed</w:t>
            </w:r>
          </w:p>
        </w:tc>
        <w:tc>
          <w:tcPr>
            <w:tcW w:w="2230" w:type="dxa"/>
          </w:tcPr>
          <w:p w:rsidR="005C4F68" w:rsidRPr="00582EC3" w:rsidRDefault="005C4F68" w:rsidP="0030077D">
            <w:pPr>
              <w:rPr>
                <w:sz w:val="18"/>
                <w:szCs w:val="18"/>
              </w:rPr>
            </w:pPr>
          </w:p>
        </w:tc>
        <w:tc>
          <w:tcPr>
            <w:tcW w:w="2230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2D7A98" w:rsidRPr="00582EC3" w:rsidRDefault="002D7A98" w:rsidP="0030077D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582EC3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>4.4.1 Identify the part played by evaporation and condensation in the water cycle and associate the rate of evaporation with temperature</w:t>
            </w:r>
          </w:p>
          <w:p w:rsidR="00582EC3" w:rsidRPr="00582EC3" w:rsidRDefault="00582EC3" w:rsidP="00582EC3">
            <w:pPr>
              <w:rPr>
                <w:sz w:val="18"/>
                <w:szCs w:val="18"/>
              </w:rPr>
            </w:pPr>
          </w:p>
          <w:p w:rsidR="002D7A98" w:rsidRPr="00582EC3" w:rsidRDefault="00582EC3" w:rsidP="00582EC3">
            <w:pPr>
              <w:rPr>
                <w:sz w:val="18"/>
                <w:szCs w:val="18"/>
              </w:rPr>
            </w:pPr>
            <w:r w:rsidRPr="00582EC3">
              <w:rPr>
                <w:sz w:val="18"/>
                <w:szCs w:val="18"/>
              </w:rPr>
              <w:t xml:space="preserve">4.4.2 Observe that some materials change state when they are heated or cooled, and measure or research the temperature at which this </w:t>
            </w:r>
            <w:r w:rsidRPr="00582EC3">
              <w:rPr>
                <w:sz w:val="18"/>
                <w:szCs w:val="18"/>
              </w:rPr>
              <w:t>happens in degrees Celsius (°C)</w:t>
            </w:r>
          </w:p>
        </w:tc>
        <w:tc>
          <w:tcPr>
            <w:tcW w:w="2231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2D7A98" w:rsidRPr="00582EC3" w:rsidRDefault="002D7A98">
            <w:pPr>
              <w:rPr>
                <w:sz w:val="18"/>
                <w:szCs w:val="18"/>
              </w:rPr>
            </w:pPr>
          </w:p>
        </w:tc>
      </w:tr>
    </w:tbl>
    <w:p w:rsidR="002D7A98" w:rsidRPr="0050624C" w:rsidRDefault="002D7A98">
      <w:pPr>
        <w:rPr>
          <w:b/>
          <w:sz w:val="18"/>
          <w:szCs w:val="18"/>
        </w:rPr>
      </w:pPr>
    </w:p>
    <w:sectPr w:rsidR="002D7A98" w:rsidRPr="0050624C" w:rsidSect="000F6C1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40" w:rsidRDefault="00120B40" w:rsidP="00120B40">
      <w:pPr>
        <w:spacing w:after="0" w:line="240" w:lineRule="auto"/>
      </w:pPr>
      <w:r>
        <w:separator/>
      </w:r>
    </w:p>
  </w:endnote>
  <w:endnote w:type="continuationSeparator" w:id="0">
    <w:p w:rsidR="00120B40" w:rsidRDefault="00120B40" w:rsidP="0012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5785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0B40" w:rsidRDefault="00120B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E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E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0B40" w:rsidRDefault="00120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40" w:rsidRDefault="00120B40" w:rsidP="00120B40">
      <w:pPr>
        <w:spacing w:after="0" w:line="240" w:lineRule="auto"/>
      </w:pPr>
      <w:r>
        <w:separator/>
      </w:r>
    </w:p>
  </w:footnote>
  <w:footnote w:type="continuationSeparator" w:id="0">
    <w:p w:rsidR="00120B40" w:rsidRDefault="00120B40" w:rsidP="0012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238"/>
    <w:multiLevelType w:val="hybridMultilevel"/>
    <w:tmpl w:val="60506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3AC0"/>
    <w:multiLevelType w:val="hybridMultilevel"/>
    <w:tmpl w:val="20F81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0284E"/>
    <w:multiLevelType w:val="hybridMultilevel"/>
    <w:tmpl w:val="7EA63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0510C"/>
    <w:multiLevelType w:val="hybridMultilevel"/>
    <w:tmpl w:val="6284F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C2496A"/>
    <w:multiLevelType w:val="hybridMultilevel"/>
    <w:tmpl w:val="F8EE8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85F9F"/>
    <w:multiLevelType w:val="hybridMultilevel"/>
    <w:tmpl w:val="03DC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0F5C9D"/>
    <w:multiLevelType w:val="hybridMultilevel"/>
    <w:tmpl w:val="5DF4E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3306F"/>
    <w:multiLevelType w:val="hybridMultilevel"/>
    <w:tmpl w:val="B09E2C8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E1916"/>
    <w:multiLevelType w:val="hybridMultilevel"/>
    <w:tmpl w:val="2254695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1D34F2"/>
    <w:multiLevelType w:val="hybridMultilevel"/>
    <w:tmpl w:val="DD3E1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5E34E9"/>
    <w:multiLevelType w:val="hybridMultilevel"/>
    <w:tmpl w:val="28441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104646"/>
    <w:multiLevelType w:val="hybridMultilevel"/>
    <w:tmpl w:val="C6BEE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C92E72"/>
    <w:multiLevelType w:val="hybridMultilevel"/>
    <w:tmpl w:val="80188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556AF6"/>
    <w:multiLevelType w:val="hybridMultilevel"/>
    <w:tmpl w:val="14E88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51EC2"/>
    <w:multiLevelType w:val="hybridMultilevel"/>
    <w:tmpl w:val="E6BC8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1D"/>
    <w:rsid w:val="000C156F"/>
    <w:rsid w:val="000F6C1D"/>
    <w:rsid w:val="00120B40"/>
    <w:rsid w:val="002575E3"/>
    <w:rsid w:val="002C681F"/>
    <w:rsid w:val="002D7A31"/>
    <w:rsid w:val="002D7A98"/>
    <w:rsid w:val="0030077D"/>
    <w:rsid w:val="003A5CFD"/>
    <w:rsid w:val="004257AF"/>
    <w:rsid w:val="004C6A91"/>
    <w:rsid w:val="0050624C"/>
    <w:rsid w:val="00523AE0"/>
    <w:rsid w:val="00582EC3"/>
    <w:rsid w:val="005C4F68"/>
    <w:rsid w:val="00625B2E"/>
    <w:rsid w:val="006E429D"/>
    <w:rsid w:val="007F4C2A"/>
    <w:rsid w:val="008D77C6"/>
    <w:rsid w:val="00906604"/>
    <w:rsid w:val="00933AD7"/>
    <w:rsid w:val="009973F7"/>
    <w:rsid w:val="00A037B3"/>
    <w:rsid w:val="00B25D50"/>
    <w:rsid w:val="00B444DB"/>
    <w:rsid w:val="00BE059A"/>
    <w:rsid w:val="00C33006"/>
    <w:rsid w:val="00C57C34"/>
    <w:rsid w:val="00CB366A"/>
    <w:rsid w:val="00D06F52"/>
    <w:rsid w:val="00EA25C5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C1D"/>
    <w:pPr>
      <w:ind w:left="720"/>
      <w:contextualSpacing/>
    </w:pPr>
  </w:style>
  <w:style w:type="character" w:customStyle="1" w:styleId="fontstyle01">
    <w:name w:val="fontstyle01"/>
    <w:basedOn w:val="DefaultParagraphFont"/>
    <w:rsid w:val="00C33006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33006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C33006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C33006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40"/>
  </w:style>
  <w:style w:type="paragraph" w:styleId="Footer">
    <w:name w:val="footer"/>
    <w:basedOn w:val="Normal"/>
    <w:link w:val="Foot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C1D"/>
    <w:pPr>
      <w:ind w:left="720"/>
      <w:contextualSpacing/>
    </w:pPr>
  </w:style>
  <w:style w:type="character" w:customStyle="1" w:styleId="fontstyle01">
    <w:name w:val="fontstyle01"/>
    <w:basedOn w:val="DefaultParagraphFont"/>
    <w:rsid w:val="00C33006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33006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C33006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C33006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40"/>
  </w:style>
  <w:style w:type="paragraph" w:styleId="Footer">
    <w:name w:val="footer"/>
    <w:basedOn w:val="Normal"/>
    <w:link w:val="Foot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Maddocks</dc:creator>
  <cp:lastModifiedBy>Helen Maddocks</cp:lastModifiedBy>
  <cp:revision>26</cp:revision>
  <dcterms:created xsi:type="dcterms:W3CDTF">2019-02-01T15:49:00Z</dcterms:created>
  <dcterms:modified xsi:type="dcterms:W3CDTF">2019-03-11T21:54:00Z</dcterms:modified>
</cp:coreProperties>
</file>